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32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D619CA" w:rsidTr="00D619CA"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9CA" w:rsidRDefault="00D61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АС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 xml:space="preserve">НЫҢ 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КЛЮЧИ АУЫЛ  СОВЕТЫ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 xml:space="preserve"> АУЫЛ  БИЛӘМӘҺЕ СОВЕТЫ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19CA" w:rsidRDefault="00D61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38100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9CA" w:rsidRDefault="00D61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РЕСПУБЛИКА  БАШКОРТОСТАН</w:t>
            </w:r>
            <w:proofErr w:type="gramEnd"/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СЕЛЬСКОГО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ПОСЕЛЕНИЯ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bCs/>
                <w:sz w:val="20"/>
                <w:szCs w:val="20"/>
                <w:lang w:eastAsia="en-US"/>
              </w:rPr>
              <w:t>СКИЙ РАЙОН</w:t>
            </w: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619CA" w:rsidRDefault="00D619CA">
            <w:pPr>
              <w:pStyle w:val="14-15"/>
              <w:spacing w:line="228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619CA" w:rsidRDefault="00D619CA" w:rsidP="00D61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9CA" w:rsidRDefault="00D619CA" w:rsidP="00D61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 2017 года № 119</w:t>
      </w:r>
    </w:p>
    <w:p w:rsidR="00D619CA" w:rsidRDefault="00D619CA" w:rsidP="00D619C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619CA" w:rsidRDefault="00D619CA" w:rsidP="00D619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7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КЛЮЧЕВСКИЙ СЕЛЬСОВЕТ МУНИЦИПАЛЬНОГО РАЙОНА</w:t>
      </w:r>
    </w:p>
    <w:p w:rsidR="00D619CA" w:rsidRDefault="00D619CA" w:rsidP="00D619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 РАЙОН РЕСПУБЛИКИ БАШКОРТОСТАН</w:t>
      </w:r>
    </w:p>
    <w:p w:rsidR="00D619CA" w:rsidRDefault="00D619CA" w:rsidP="00D619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 ПЛАНОВЫЙ ПЕРИОД 2019 И  2020 ГОДОВ</w:t>
      </w:r>
    </w:p>
    <w:p w:rsidR="00D619CA" w:rsidRDefault="00D619CA" w:rsidP="00D619CA">
      <w:pPr>
        <w:pStyle w:val="a3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CA" w:rsidRDefault="00D619CA" w:rsidP="00D619CA">
      <w:pPr>
        <w:pStyle w:val="a3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Ключевский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619CA" w:rsidRDefault="00D619CA" w:rsidP="00D61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год:</w:t>
      </w: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прогнозируемый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в сумме    1767,8 тыс. рублей. </w:t>
      </w: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в сумме   1767,8 тыс. рублей.</w:t>
      </w: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Дефицит (профицит)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в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годов:</w:t>
      </w: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прогнозируемый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на 2019 год   в сумме   1735,2 тыс. рублей и на 2020 год в сумме  1763,8 тыс. рублей. </w:t>
      </w:r>
    </w:p>
    <w:p w:rsidR="00D619CA" w:rsidRDefault="00D619CA" w:rsidP="00D619C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2) общий объем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   на  2019 год в сумме  1735,2 тыс. рублей, </w:t>
      </w:r>
      <w:r>
        <w:rPr>
          <w:rStyle w:val="a4"/>
          <w:rFonts w:ascii="Times New Roman" w:hAnsi="Times New Roman" w:cs="Times New Roman"/>
          <w:sz w:val="28"/>
          <w:szCs w:val="28"/>
        </w:rPr>
        <w:t>в том числе условно утвержденные расходы в сумме 28,5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2020 год в сумме 1763,8 тыс. рублей,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в том числе условно утвержденные расходы в сумме  57,1 тыс. рублей.</w:t>
      </w:r>
    </w:p>
    <w:p w:rsidR="00D619CA" w:rsidRDefault="00D619CA" w:rsidP="00D619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D619CA" w:rsidRDefault="00D619CA" w:rsidP="00D619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2)Утвердить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D619CA" w:rsidRDefault="00D619CA" w:rsidP="00D619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D619CA" w:rsidRDefault="00D619CA" w:rsidP="00D619CA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на 2018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 к 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619CA" w:rsidRDefault="00D619CA" w:rsidP="00D619CA">
      <w:pPr>
        <w:pStyle w:val="a3"/>
        <w:tabs>
          <w:tab w:val="left" w:pos="1033"/>
        </w:tabs>
        <w:ind w:left="360"/>
        <w:jc w:val="left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4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19CA" w:rsidRDefault="00D619CA" w:rsidP="00D619CA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619CA" w:rsidRDefault="00D619CA" w:rsidP="00D619CA">
      <w:pPr>
        <w:pStyle w:val="a3"/>
        <w:tabs>
          <w:tab w:val="left" w:pos="1033"/>
        </w:tabs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общего объема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D619CA" w:rsidRDefault="00D619CA" w:rsidP="00D619CA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1.1) </w:t>
      </w:r>
      <w:r>
        <w:rPr>
          <w:rStyle w:val="a4"/>
          <w:rFonts w:ascii="Times New Roman" w:hAnsi="Times New Roman" w:cs="Times New Roman"/>
          <w:sz w:val="28"/>
          <w:szCs w:val="28"/>
        </w:rPr>
        <w:t>на 2018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619CA" w:rsidRDefault="00D619CA" w:rsidP="00D619CA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1.2) на плановый период 2019 и 2020 годов согласно приложению 6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19CA" w:rsidRDefault="00D619CA" w:rsidP="00D619CA">
      <w:pPr>
        <w:widowControl w:val="0"/>
        <w:tabs>
          <w:tab w:val="left" w:pos="1033"/>
        </w:tabs>
        <w:ind w:left="36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 целевым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статьям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 видов расходов классификации расходов бюджетов : </w:t>
      </w:r>
    </w:p>
    <w:p w:rsidR="00D619CA" w:rsidRDefault="00D619CA" w:rsidP="00D619CA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 год согласно 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9CA" w:rsidRDefault="00D619CA" w:rsidP="00D619CA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2019 и 2020 годов согласно приложению 8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9CA" w:rsidRDefault="00D619CA" w:rsidP="00D619C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ведомственную структуру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619CA" w:rsidRDefault="00D619CA" w:rsidP="00D619CA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3.1) </w:t>
      </w:r>
      <w:r>
        <w:rPr>
          <w:rStyle w:val="a4"/>
          <w:rFonts w:ascii="Times New Roman" w:hAnsi="Times New Roman" w:cs="Times New Roman"/>
          <w:sz w:val="28"/>
          <w:szCs w:val="28"/>
        </w:rPr>
        <w:t>на 2018 год согласно 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619CA" w:rsidRDefault="00D619CA" w:rsidP="00D619CA">
      <w:pPr>
        <w:pStyle w:val="a5"/>
        <w:jc w:val="both"/>
      </w:pPr>
      <w:r>
        <w:rPr>
          <w:rStyle w:val="a4"/>
          <w:rFonts w:ascii="Times New Roman" w:eastAsia="Calibri" w:hAnsi="Times New Roman"/>
          <w:sz w:val="28"/>
          <w:szCs w:val="28"/>
        </w:rPr>
        <w:t xml:space="preserve">     3.2) на плановый период 2019 и 2020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   а также сокращающие его доходную базу, подлежат исполнению при изыскании дополнительных источников доходов бюджета сельского поселения Ключевский сельсовет 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3)Администрация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2018-2020 годах численности муниципальных служащих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.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:rsidR="00D619CA" w:rsidRDefault="00D619CA" w:rsidP="00D619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 объем межбюджетных трансфертов, получаемых в бюджет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  из бюджета муниципального района  в 2018 году в сумме  1599,8  тыс. рублей,   в 2019 году  в сумме  1536,7 тыс. рублей и в 2020 году  1534,7 тыс. рублей.          </w:t>
      </w:r>
    </w:p>
    <w:p w:rsidR="00D619CA" w:rsidRDefault="00D619CA" w:rsidP="00D619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по состоянию на 1 января 2018 года, в полном объеме (за исключением целевых средств)  направляются администрацией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9CA" w:rsidRDefault="00D619CA" w:rsidP="00D619C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19CA" w:rsidRDefault="00D619CA" w:rsidP="00D619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Ключевский сельсовет </w:t>
      </w:r>
    </w:p>
    <w:p w:rsidR="00D619CA" w:rsidRDefault="00D619CA" w:rsidP="00D619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D619CA" w:rsidRDefault="00D619CA" w:rsidP="00D619C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715E9" w:rsidRPr="00D619CA" w:rsidRDefault="00D619CA" w:rsidP="00D61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М.П. Селянин     </w:t>
      </w:r>
    </w:p>
    <w:sectPr w:rsidR="00F715E9" w:rsidRPr="00D6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CA"/>
    <w:rsid w:val="001E6706"/>
    <w:rsid w:val="00584F9F"/>
    <w:rsid w:val="00D619CA"/>
    <w:rsid w:val="00F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DF5A-56B3-4442-B158-05C49FF6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C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9CA"/>
    <w:pPr>
      <w:widowControl w:val="0"/>
      <w:spacing w:line="252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619CA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D619C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D619CA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619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-15">
    <w:name w:val="Текст 14-1.5"/>
    <w:basedOn w:val="a"/>
    <w:rsid w:val="00D619CA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8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2017-12-26T10:36:00Z</cp:lastPrinted>
  <dcterms:created xsi:type="dcterms:W3CDTF">2017-12-26T10:00:00Z</dcterms:created>
  <dcterms:modified xsi:type="dcterms:W3CDTF">2017-12-26T10:37:00Z</dcterms:modified>
</cp:coreProperties>
</file>